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left="0" w:leftChars="0" w:firstLine="0" w:firstLineChars="0"/>
        <w:jc w:val="left"/>
        <w:rPr>
          <w:rFonts w:hint="eastAsia" w:ascii="黑体" w:hAnsi="黑体" w:eastAsia="黑体" w:cs="黑体"/>
          <w:b/>
          <w:spacing w:val="-17"/>
          <w:kern w:val="0"/>
          <w:sz w:val="44"/>
          <w:szCs w:val="44"/>
        </w:rPr>
      </w:pPr>
      <w:r>
        <w:rPr>
          <w:rFonts w:hint="eastAsia" w:ascii="黑体" w:hAnsi="黑体" w:eastAsia="黑体" w:cs="黑体"/>
          <w:b/>
          <w:spacing w:val="-17"/>
          <w:kern w:val="0"/>
          <w:sz w:val="28"/>
          <w:szCs w:val="28"/>
          <w:lang w:val="en-US" w:eastAsia="zh-CN"/>
        </w:rPr>
        <w:t>公告7：</w:t>
      </w:r>
      <w:bookmarkStart w:id="5" w:name="_GoBack"/>
      <w:bookmarkEnd w:id="5"/>
    </w:p>
    <w:p>
      <w:pPr>
        <w:widowControl/>
        <w:ind w:firstLine="0" w:firstLineChars="0"/>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pStyle w:val="2"/>
        <w:rPr>
          <w:rFonts w:hint="eastAsia"/>
        </w:rPr>
      </w:pP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widowControl/>
        <w:ind w:left="8" w:firstLine="630"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bCs/>
          <w:kern w:val="0"/>
          <w:sz w:val="32"/>
          <w:szCs w:val="32"/>
          <w:lang w:eastAsia="zh-CN"/>
        </w:rPr>
        <w:t>项目名称：</w:t>
      </w:r>
      <w:r>
        <w:rPr>
          <w:rFonts w:hint="eastAsia" w:ascii="仿宋" w:hAnsi="仿宋" w:eastAsia="仿宋" w:cs="仿宋"/>
          <w:b w:val="0"/>
          <w:bCs w:val="0"/>
          <w:kern w:val="0"/>
          <w:sz w:val="32"/>
          <w:szCs w:val="32"/>
          <w:lang w:val="en-US" w:eastAsia="zh-CN"/>
        </w:rPr>
        <w:t>永夏矿区二</w:t>
      </w:r>
      <w:r>
        <w:rPr>
          <w:rFonts w:hint="eastAsia" w:ascii="仿宋" w:hAnsi="仿宋" w:eastAsia="仿宋" w:cs="仿宋"/>
          <w:b w:val="0"/>
          <w:bCs w:val="0"/>
          <w:kern w:val="0"/>
          <w:sz w:val="32"/>
          <w:szCs w:val="32"/>
          <w:vertAlign w:val="subscript"/>
          <w:lang w:val="en-US" w:eastAsia="zh-CN"/>
        </w:rPr>
        <w:t>2</w:t>
      </w:r>
      <w:r>
        <w:rPr>
          <w:rFonts w:hint="eastAsia" w:ascii="仿宋" w:hAnsi="仿宋" w:eastAsia="仿宋" w:cs="仿宋"/>
          <w:b w:val="0"/>
          <w:bCs w:val="0"/>
          <w:kern w:val="0"/>
          <w:sz w:val="32"/>
          <w:szCs w:val="32"/>
          <w:lang w:val="en-US" w:eastAsia="zh-CN"/>
        </w:rPr>
        <w:t>煤层瓦斯地质规律与瓦斯抽采工程部署研究及应用</w:t>
      </w:r>
    </w:p>
    <w:p>
      <w:pPr>
        <w:widowControl/>
        <w:ind w:left="8" w:firstLine="630"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bCs/>
          <w:kern w:val="0"/>
          <w:sz w:val="32"/>
          <w:szCs w:val="32"/>
          <w:lang w:val="en-US" w:eastAsia="zh-CN"/>
        </w:rPr>
        <w:t>项目计划文件：</w:t>
      </w:r>
      <w:r>
        <w:rPr>
          <w:rFonts w:hint="eastAsia" w:ascii="仿宋" w:hAnsi="仿宋" w:eastAsia="仿宋" w:cs="仿宋"/>
          <w:b w:val="0"/>
          <w:bCs w:val="0"/>
          <w:kern w:val="0"/>
          <w:sz w:val="32"/>
          <w:szCs w:val="32"/>
          <w:lang w:val="en-US" w:eastAsia="zh-CN"/>
        </w:rPr>
        <w:t>《关于下达河南能源集团2024年科技研发项目计划的通知》（豫能办〔2024〕95号），列属：</w:t>
      </w:r>
      <w:r>
        <w:rPr>
          <w:rFonts w:hint="eastAsia" w:ascii="仿宋" w:hAnsi="仿宋" w:eastAsia="仿宋" w:cs="仿宋"/>
          <w:b w:val="0"/>
          <w:bCs w:val="0"/>
          <w:kern w:val="0"/>
          <w:sz w:val="32"/>
          <w:szCs w:val="32"/>
          <w:lang w:eastAsia="zh-CN"/>
        </w:rPr>
        <w:t>子课题（2024-06-1）。</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二、需求目标</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1.研究城郊煤矿瓦斯地质赋存规律，包括以下内容：</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通过开展矿井煤层地质条件分析、进行现场测试、数值模拟等，弄清煤层瓦斯赋存的主要影响因素（包括但不限于埋深、构造、围岩性质（泥岩盖层、裂隙发育）、煤层厚度、煤层夹矸、水文地质条件等因素）；</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（2）根据瓦斯赋存规律精细划分瓦斯地质单元，每个瓦斯地质单元要确定瓦斯赋存主控因素，并对煤层突出危险性进行科学研判评估分区；</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（3）根据瓦斯地质单元分区情况提出针对性瓦斯治理技术方案，指导矿井瓦斯精准治理；</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（4）各瓦斯地质单元煤体的瓦斯吸附与解吸规律、煤体气体组分一般规律，为瓦斯抽采提供理论指导和基础数据。</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通过对矿井煤层地质条件分析，弄清煤层瓦斯赋存的主要影响因素，掌握瓦斯赋存规律，精细划分瓦斯地质单元，对煤层突出危险性进行科学研判评估并合理分区，提出针对性瓦斯治理技术方案，为矿井精准有效的开展瓦斯治理提供基础保障。</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（1）研究开发方法。依据矿井现有瓦斯和地质资料，采用资料整理统计分析、现场参数测定、室内试验及数值模拟分析、理论分析及现场对比验证的研究开发方法。</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资料整理统计分析。系统收集整理矿区、矿井地质构造和瓦斯地质相关资料，了解矿区和矿井地质构造发育特征、区域构造演化特征和瓦斯赋存特征；在矿井现有生产区域内，对相关巷道内构造和构造煤发育特征进行观测和分析，根据分析设计采样地点。</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（3）现场参数测定。根据分析设计的采样地点，进行井下采样及相关测试。</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（4）室内试验及数值模拟分析。通过煤体坚固性系数和瓦斯放散初速度室内测试，获得煤体结构相关数据；通过瓦斯吸附</w:t>
      </w:r>
      <w:r>
        <w:rPr>
          <w:rFonts w:hint="default" w:ascii="仿宋" w:hAnsi="仿宋" w:eastAsia="仿宋" w:cs="仿宋"/>
          <w:b w:val="0"/>
          <w:bCs w:val="0"/>
          <w:kern w:val="0"/>
          <w:sz w:val="32"/>
          <w:szCs w:val="32"/>
          <w:lang w:val="en-US" w:eastAsia="zh-CN"/>
        </w:rPr>
        <w:t>-</w:t>
      </w:r>
      <w:r>
        <w:rPr>
          <w:rFonts w:hint="eastAsia" w:ascii="仿宋" w:hAnsi="仿宋" w:eastAsia="仿宋" w:cs="仿宋"/>
          <w:b w:val="0"/>
          <w:bCs w:val="0"/>
          <w:kern w:val="0"/>
          <w:sz w:val="32"/>
          <w:szCs w:val="32"/>
          <w:lang w:val="en-US" w:eastAsia="zh-CN"/>
        </w:rPr>
        <w:t>解吸试验，获得煤层瓦斯吸附、解吸参数；运用数值模拟软件，分析构造物理环境对瓦斯赋存的影响。</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5）运用构造地质学、瓦斯地质学、构造物理学和计算机科学等相关学科的理论和方法，分析矿井地质构造发育及演化特征、瓦斯赋存特征、矿井构造物理特征和煤与瓦斯突出特征，精细划分瓦斯地质单元，对煤层突出危险性进行科学研判评估并合理分区，提出针对性瓦斯治理技术方案。</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rPr>
        <w:t>考核指标</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1.得出城郊煤矿井田瓦斯赋存规律及主控因素。</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2.精细圈画出城郊煤矿瓦斯地质单元并对煤层突出危险性进行科学研判评估分区。</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3.得出城郊煤矿不同瓦斯地质单元内煤体瓦斯吸附与解吸规律、煤体内气体组分一般规律。</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4.针对城郊煤矿不同瓦斯地质单元给出科学合理的瓦斯防治技术方案或技术路线。</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四、实施期限</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val="en-US" w:eastAsia="zh-CN"/>
        </w:rPr>
        <w:t>实施期限为一年</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以实际签订合同日期为起始时间</w:t>
      </w:r>
      <w:r>
        <w:rPr>
          <w:rFonts w:hint="eastAsia" w:ascii="仿宋" w:hAnsi="仿宋" w:eastAsia="仿宋" w:cs="仿宋"/>
          <w:b w:val="0"/>
          <w:bCs w:val="0"/>
          <w:kern w:val="0"/>
          <w:sz w:val="32"/>
          <w:szCs w:val="32"/>
          <w:lang w:eastAsia="zh-CN"/>
        </w:rPr>
        <w:t>。</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榜单限额</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委外研究费用不超过110万元。</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揭榜方条件</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1.揭榜方应具备的基本条件</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揭榜方所在单位具备良好的工作基础、实验条件和科研环境，有较强的研发实力、科研条件和稳定的人员队伍等，有能力完成张榜任务；具有良好的科研道德和社会诚信，近3年内无不良信用记录；近五年内应承担过国家和省、行业内重点科技攻关项目1项，或取得过国家和省部级、行业级科学技术奖1项，并具有一定的持续发展能力。</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揭榜挂帅者作为研发团队带头人，应在学科技术领域中已取得较为突出的创新成果，有良好的科学道德和严谨的学风，能对张榜项目需求给出攻克关键核心技术的可行方案，掌握自主知识产权，对学科领域的发展具有重要推动作用，有时间和精力从事揭榜项目研究工作。</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揭榜方参与本项目的科研团队除挂帅者之外一般应有至少1名副高级职称或博士学位的核心人员（特别优秀创新人才不受限制），专业结构合理。团队研究方向和主要研究课题符合本项目要求，已取得突出成绩或具有明显的创新潜力。</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val="en-US" w:eastAsia="zh-CN"/>
        </w:rPr>
        <w:t>2.</w:t>
      </w:r>
      <w:bookmarkStart w:id="0" w:name="_Toc145730925"/>
      <w:bookmarkStart w:id="1" w:name="_Toc318215223"/>
      <w:bookmarkStart w:id="2" w:name="_Toc231814821"/>
      <w:bookmarkStart w:id="3" w:name="_Toc196209075"/>
      <w:r>
        <w:rPr>
          <w:rFonts w:hint="eastAsia" w:ascii="仿宋" w:hAnsi="仿宋" w:eastAsia="仿宋" w:cs="仿宋"/>
          <w:b w:val="0"/>
          <w:bCs w:val="0"/>
          <w:kern w:val="0"/>
          <w:sz w:val="32"/>
          <w:szCs w:val="32"/>
          <w:lang w:val="en-US" w:eastAsia="zh-CN"/>
        </w:rPr>
        <w:t>签订技术合同。</w:t>
      </w:r>
      <w:r>
        <w:rPr>
          <w:rFonts w:hint="eastAsia" w:ascii="仿宋" w:hAnsi="仿宋" w:eastAsia="仿宋" w:cs="仿宋"/>
          <w:b w:val="0"/>
          <w:bCs w:val="0"/>
          <w:kern w:val="0"/>
          <w:sz w:val="32"/>
          <w:szCs w:val="32"/>
          <w:lang w:eastAsia="zh-CN"/>
        </w:rPr>
        <w:t>发榜方与中榜方签订技术合同，双方签字盖章后生效。发榜方项目承担单位与中榜方要按照国家相关法律法规规定，在技术合同中约定知识产权的归属和分配，避免产生知识产权纠纷</w:t>
      </w:r>
      <w:bookmarkEnd w:id="0"/>
      <w:bookmarkEnd w:id="1"/>
      <w:bookmarkEnd w:id="2"/>
      <w:bookmarkEnd w:id="3"/>
      <w:bookmarkStart w:id="4" w:name="_Toc491589970"/>
      <w:bookmarkEnd w:id="4"/>
      <w:r>
        <w:rPr>
          <w:rFonts w:hint="eastAsia" w:ascii="仿宋" w:hAnsi="仿宋" w:eastAsia="仿宋" w:cs="仿宋"/>
          <w:b w:val="0"/>
          <w:bCs w:val="0"/>
          <w:kern w:val="0"/>
          <w:sz w:val="32"/>
          <w:szCs w:val="32"/>
          <w:lang w:eastAsia="zh-CN"/>
        </w:rPr>
        <w:t>，并到集团公司科技管理部门备案。</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3.其他要求</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1</w:t>
      </w:r>
      <w:r>
        <w:rPr>
          <w:rFonts w:hint="eastAsia" w:ascii="仿宋" w:hAnsi="仿宋" w:eastAsia="仿宋" w:cs="仿宋"/>
          <w:b w:val="0"/>
          <w:bCs w:val="0"/>
          <w:kern w:val="0"/>
          <w:sz w:val="32"/>
          <w:szCs w:val="32"/>
          <w:lang w:eastAsia="zh-CN"/>
        </w:rPr>
        <w:t>）中榜方挂帅者应按发榜项目要求编制计划任务书，制定“里程碑”式阶段成果节点，加快实施。</w:t>
      </w:r>
      <w:r>
        <w:rPr>
          <w:rFonts w:hint="eastAsia" w:ascii="仿宋" w:hAnsi="仿宋" w:eastAsia="仿宋" w:cs="仿宋"/>
          <w:b w:val="0"/>
          <w:bCs w:val="0"/>
          <w:kern w:val="0"/>
          <w:sz w:val="32"/>
          <w:szCs w:val="32"/>
          <w:lang w:val="en-US" w:eastAsia="zh-CN"/>
        </w:rPr>
        <w:t>发榜方</w:t>
      </w:r>
      <w:r>
        <w:rPr>
          <w:rFonts w:hint="eastAsia" w:ascii="仿宋" w:hAnsi="仿宋" w:eastAsia="仿宋" w:cs="仿宋"/>
          <w:b w:val="0"/>
          <w:bCs w:val="0"/>
          <w:kern w:val="0"/>
          <w:sz w:val="32"/>
          <w:szCs w:val="32"/>
          <w:lang w:eastAsia="zh-CN"/>
        </w:rPr>
        <w:t>对目标进展、阶段任务完成情况进行督导，根据“里程碑”节点进行考核检查，达到节点要求的可继续进行下一阶段工作，达不到要求的要责令限期完成或终止技术合同。</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2</w:t>
      </w:r>
      <w:r>
        <w:rPr>
          <w:rFonts w:hint="eastAsia" w:ascii="仿宋" w:hAnsi="仿宋" w:eastAsia="仿宋" w:cs="仿宋"/>
          <w:b w:val="0"/>
          <w:bCs w:val="0"/>
          <w:kern w:val="0"/>
          <w:sz w:val="32"/>
          <w:szCs w:val="32"/>
          <w:lang w:eastAsia="zh-CN"/>
        </w:rPr>
        <w:t>）“揭榜挂帅”科技项目经费根据技术合同(或技术协议)的约定结合项目进展情况分批支付。</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3</w:t>
      </w:r>
      <w:r>
        <w:rPr>
          <w:rFonts w:hint="eastAsia" w:ascii="仿宋" w:hAnsi="仿宋" w:eastAsia="仿宋" w:cs="仿宋"/>
          <w:b w:val="0"/>
          <w:bCs w:val="0"/>
          <w:kern w:val="0"/>
          <w:sz w:val="32"/>
          <w:szCs w:val="32"/>
          <w:lang w:eastAsia="zh-CN"/>
        </w:rPr>
        <w:t>）“揭榜挂帅”科技项目进展情况实行定期报告制度，负责人每月向项目单位汇报项目进展情况，同时报永煤公司科技管理部门备案。</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4</w:t>
      </w:r>
      <w:r>
        <w:rPr>
          <w:rFonts w:hint="eastAsia" w:ascii="仿宋" w:hAnsi="仿宋" w:eastAsia="仿宋" w:cs="仿宋"/>
          <w:b w:val="0"/>
          <w:bCs w:val="0"/>
          <w:kern w:val="0"/>
          <w:sz w:val="32"/>
          <w:szCs w:val="32"/>
          <w:lang w:eastAsia="zh-CN"/>
        </w:rPr>
        <w:t>）“揭榜挂帅”科技项目实施过程中，如出现研究内容更改、研究目标调整、关键技术方案变更、合作团队挂帅者变更、不可抗拒因素等对项目执行产生重大影响的情况，中榜方应及时向项目单位和永煤公司科技管理部门申请变更审批。</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5</w:t>
      </w:r>
      <w:r>
        <w:rPr>
          <w:rFonts w:hint="eastAsia" w:ascii="仿宋" w:hAnsi="仿宋" w:eastAsia="仿宋" w:cs="仿宋"/>
          <w:b w:val="0"/>
          <w:bCs w:val="0"/>
          <w:kern w:val="0"/>
          <w:sz w:val="32"/>
          <w:szCs w:val="32"/>
          <w:lang w:eastAsia="zh-CN"/>
        </w:rPr>
        <w:t>）中榜方项目完成后，应及时提交结题验收申请，编制项目研究报告，提交结题验收材料。永煤公司收到验收申请后，对验收材料进行形式内容审查，符合要求后会同项目单位组织进行结题验收。</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6</w:t>
      </w:r>
      <w:r>
        <w:rPr>
          <w:rFonts w:hint="eastAsia" w:ascii="仿宋" w:hAnsi="仿宋" w:eastAsia="仿宋" w:cs="仿宋"/>
          <w:b w:val="0"/>
          <w:bCs w:val="0"/>
          <w:kern w:val="0"/>
          <w:sz w:val="32"/>
          <w:szCs w:val="32"/>
          <w:lang w:eastAsia="zh-CN"/>
        </w:rPr>
        <w:t>）揭榜后中榜方15天内提供项目</w:t>
      </w:r>
      <w:r>
        <w:rPr>
          <w:rFonts w:hint="eastAsia" w:ascii="仿宋" w:hAnsi="仿宋" w:eastAsia="仿宋" w:cs="仿宋"/>
          <w:b w:val="0"/>
          <w:bCs w:val="0"/>
          <w:kern w:val="0"/>
          <w:sz w:val="32"/>
          <w:szCs w:val="32"/>
          <w:lang w:val="en-US" w:eastAsia="zh-CN"/>
        </w:rPr>
        <w:t>整体</w:t>
      </w:r>
      <w:r>
        <w:rPr>
          <w:rFonts w:hint="eastAsia" w:ascii="仿宋" w:hAnsi="仿宋" w:eastAsia="仿宋" w:cs="仿宋"/>
          <w:b w:val="0"/>
          <w:bCs w:val="0"/>
          <w:kern w:val="0"/>
          <w:sz w:val="32"/>
          <w:szCs w:val="32"/>
          <w:lang w:eastAsia="zh-CN"/>
        </w:rPr>
        <w:t>设计方案图纸，45天内提供配套生产图纸。除不可抗拒因素外，中榜方未按计划任务书时间节点推进的，未按技术合同约定期限完成科技项目的，最终交付成果技术难题解决效果不显著的，依据技术合同规定由中榜方承担所造成损失，并且三年内不得参与永煤公司其他科技项目研发。</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7</w:t>
      </w:r>
      <w:r>
        <w:rPr>
          <w:rFonts w:hint="eastAsia" w:ascii="仿宋" w:hAnsi="仿宋" w:eastAsia="仿宋" w:cs="仿宋"/>
          <w:b w:val="0"/>
          <w:bCs w:val="0"/>
          <w:kern w:val="0"/>
          <w:sz w:val="32"/>
          <w:szCs w:val="32"/>
          <w:lang w:eastAsia="zh-CN"/>
        </w:rPr>
        <w:t>）中榜方有下列情形之一的，终止技术合同，造成损失的应依技术合同规定办理：</w:t>
      </w:r>
      <w:r>
        <w:rPr>
          <w:rFonts w:hint="eastAsia" w:ascii="仿宋" w:hAnsi="仿宋" w:eastAsia="仿宋" w:cs="仿宋"/>
          <w:b w:val="0"/>
          <w:bCs w:val="0"/>
          <w:kern w:val="0"/>
          <w:sz w:val="32"/>
          <w:szCs w:val="32"/>
          <w:lang w:val="en-US" w:eastAsia="zh-CN"/>
        </w:rPr>
        <w:t>①</w:t>
      </w:r>
      <w:r>
        <w:rPr>
          <w:rFonts w:hint="eastAsia" w:ascii="仿宋" w:hAnsi="仿宋" w:eastAsia="仿宋" w:cs="仿宋"/>
          <w:b w:val="0"/>
          <w:bCs w:val="0"/>
          <w:kern w:val="0"/>
          <w:sz w:val="32"/>
          <w:szCs w:val="32"/>
          <w:lang w:eastAsia="zh-CN"/>
        </w:rPr>
        <w:t>无法按照约定继续开展项目合作的；</w:t>
      </w:r>
      <w:r>
        <w:rPr>
          <w:rFonts w:hint="eastAsia" w:ascii="仿宋" w:hAnsi="仿宋" w:eastAsia="仿宋" w:cs="仿宋"/>
          <w:b w:val="0"/>
          <w:bCs w:val="0"/>
          <w:kern w:val="0"/>
          <w:sz w:val="32"/>
          <w:szCs w:val="32"/>
          <w:lang w:val="en-US" w:eastAsia="zh-CN"/>
        </w:rPr>
        <w:t>②</w:t>
      </w:r>
      <w:r>
        <w:rPr>
          <w:rFonts w:hint="eastAsia" w:ascii="仿宋" w:hAnsi="仿宋" w:eastAsia="仿宋" w:cs="仿宋"/>
          <w:b w:val="0"/>
          <w:bCs w:val="0"/>
          <w:kern w:val="0"/>
          <w:sz w:val="32"/>
          <w:szCs w:val="32"/>
          <w:lang w:eastAsia="zh-CN"/>
        </w:rPr>
        <w:t>挂帅者出现不诚信情况的；</w:t>
      </w:r>
      <w:r>
        <w:rPr>
          <w:rFonts w:hint="eastAsia" w:ascii="仿宋" w:hAnsi="仿宋" w:eastAsia="仿宋" w:cs="仿宋"/>
          <w:b w:val="0"/>
          <w:bCs w:val="0"/>
          <w:kern w:val="0"/>
          <w:sz w:val="32"/>
          <w:szCs w:val="32"/>
          <w:lang w:val="en-US" w:eastAsia="zh-CN"/>
        </w:rPr>
        <w:t>③</w:t>
      </w:r>
      <w:r>
        <w:rPr>
          <w:rFonts w:hint="eastAsia" w:ascii="仿宋" w:hAnsi="仿宋" w:eastAsia="仿宋" w:cs="仿宋"/>
          <w:b w:val="0"/>
          <w:bCs w:val="0"/>
          <w:kern w:val="0"/>
          <w:sz w:val="32"/>
          <w:szCs w:val="32"/>
          <w:lang w:eastAsia="zh-CN"/>
        </w:rPr>
        <w:t>研发团队自行解散的。</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七、知识产权归属及利益分配</w:t>
      </w:r>
    </w:p>
    <w:p>
      <w:pPr>
        <w:widowControl/>
        <w:ind w:left="8" w:firstLine="627" w:firstLineChars="196"/>
        <w:jc w:val="left"/>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val="en-US" w:eastAsia="zh-CN"/>
        </w:rPr>
        <w:t>1.</w:t>
      </w:r>
      <w:r>
        <w:rPr>
          <w:rFonts w:hint="eastAsia" w:ascii="仿宋" w:hAnsi="仿宋" w:eastAsia="仿宋" w:cs="仿宋"/>
          <w:b w:val="0"/>
          <w:bCs w:val="0"/>
          <w:kern w:val="0"/>
          <w:sz w:val="32"/>
          <w:szCs w:val="32"/>
          <w:lang w:eastAsia="zh-CN"/>
        </w:rPr>
        <w:t>中文核心论文</w:t>
      </w:r>
      <w:r>
        <w:rPr>
          <w:rFonts w:hint="eastAsia" w:ascii="仿宋" w:hAnsi="仿宋" w:eastAsia="仿宋" w:cs="仿宋"/>
          <w:b w:val="0"/>
          <w:bCs w:val="0"/>
          <w:kern w:val="0"/>
          <w:sz w:val="32"/>
          <w:szCs w:val="32"/>
          <w:lang w:val="en-US" w:eastAsia="zh-CN"/>
        </w:rPr>
        <w:t>2</w:t>
      </w:r>
      <w:r>
        <w:rPr>
          <w:rFonts w:hint="eastAsia" w:ascii="仿宋" w:hAnsi="仿宋" w:eastAsia="仿宋" w:cs="仿宋"/>
          <w:b w:val="0"/>
          <w:bCs w:val="0"/>
          <w:kern w:val="0"/>
          <w:sz w:val="32"/>
          <w:szCs w:val="32"/>
          <w:lang w:eastAsia="zh-CN"/>
        </w:rPr>
        <w:t>篇（第一作者，永煤公司或</w:t>
      </w:r>
      <w:r>
        <w:rPr>
          <w:rFonts w:hint="eastAsia" w:ascii="仿宋" w:hAnsi="仿宋" w:eastAsia="仿宋" w:cs="仿宋"/>
          <w:b w:val="0"/>
          <w:bCs w:val="0"/>
          <w:kern w:val="0"/>
          <w:sz w:val="32"/>
          <w:szCs w:val="32"/>
          <w:lang w:val="en-US" w:eastAsia="zh-CN"/>
        </w:rPr>
        <w:t>城郊煤矿</w:t>
      </w:r>
      <w:r>
        <w:rPr>
          <w:rFonts w:hint="eastAsia" w:ascii="仿宋" w:hAnsi="仿宋" w:eastAsia="仿宋" w:cs="仿宋"/>
          <w:b w:val="0"/>
          <w:bCs w:val="0"/>
          <w:kern w:val="0"/>
          <w:sz w:val="32"/>
          <w:szCs w:val="32"/>
          <w:lang w:eastAsia="zh-CN"/>
        </w:rPr>
        <w:t>）。</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w:t>
      </w:r>
      <w:r>
        <w:rPr>
          <w:rFonts w:hint="eastAsia" w:ascii="仿宋" w:hAnsi="仿宋" w:eastAsia="仿宋" w:cs="仿宋"/>
          <w:b w:val="0"/>
          <w:bCs w:val="0"/>
          <w:kern w:val="0"/>
          <w:sz w:val="32"/>
          <w:szCs w:val="32"/>
          <w:lang w:eastAsia="zh-CN"/>
        </w:rPr>
        <w:t>申请发明专利</w:t>
      </w:r>
      <w:r>
        <w:rPr>
          <w:rFonts w:hint="eastAsia" w:ascii="仿宋" w:hAnsi="仿宋" w:eastAsia="仿宋" w:cs="仿宋"/>
          <w:b w:val="0"/>
          <w:bCs w:val="0"/>
          <w:kern w:val="0"/>
          <w:sz w:val="32"/>
          <w:szCs w:val="32"/>
          <w:lang w:val="en-US" w:eastAsia="zh-CN"/>
        </w:rPr>
        <w:t>2项。</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eastAsia="zh-CN"/>
        </w:rPr>
        <w:t>八、</w:t>
      </w:r>
      <w:r>
        <w:rPr>
          <w:rFonts w:hint="eastAsia" w:ascii="黑体" w:hAnsi="黑体" w:eastAsia="黑体" w:cs="黑体"/>
          <w:kern w:val="0"/>
          <w:sz w:val="32"/>
          <w:szCs w:val="32"/>
        </w:rPr>
        <w:t>预期成果</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1.交付成果：</w:t>
      </w:r>
      <w:r>
        <w:rPr>
          <w:rFonts w:hint="eastAsia" w:ascii="仿宋" w:hAnsi="仿宋" w:eastAsia="仿宋" w:cs="仿宋"/>
          <w:b w:val="0"/>
          <w:bCs w:val="0"/>
          <w:kern w:val="0"/>
          <w:sz w:val="32"/>
          <w:szCs w:val="32"/>
          <w:lang w:eastAsia="zh-CN"/>
        </w:rPr>
        <w:t>项目总结报告必须通过永煤公司组织的验收，出具城郊煤矿瓦斯地质赋存规律研究报告，研究报告为</w:t>
      </w:r>
      <w:r>
        <w:rPr>
          <w:rFonts w:hint="eastAsia" w:ascii="仿宋" w:hAnsi="仿宋" w:eastAsia="仿宋" w:cs="仿宋"/>
          <w:b w:val="0"/>
          <w:bCs w:val="0"/>
          <w:kern w:val="0"/>
          <w:sz w:val="32"/>
          <w:szCs w:val="32"/>
          <w:lang w:val="en-US" w:eastAsia="zh-CN"/>
        </w:rPr>
        <w:t>5份。</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2.发表</w:t>
      </w:r>
      <w:r>
        <w:rPr>
          <w:rFonts w:hint="eastAsia" w:ascii="仿宋" w:hAnsi="仿宋" w:eastAsia="仿宋" w:cs="仿宋"/>
          <w:b w:val="0"/>
          <w:bCs w:val="0"/>
          <w:kern w:val="0"/>
          <w:sz w:val="32"/>
          <w:szCs w:val="32"/>
          <w:lang w:eastAsia="zh-CN"/>
        </w:rPr>
        <w:t>中文核心论文</w:t>
      </w:r>
      <w:r>
        <w:rPr>
          <w:rFonts w:hint="eastAsia" w:ascii="仿宋" w:hAnsi="仿宋" w:eastAsia="仿宋" w:cs="仿宋"/>
          <w:b w:val="0"/>
          <w:bCs w:val="0"/>
          <w:kern w:val="0"/>
          <w:sz w:val="32"/>
          <w:szCs w:val="32"/>
          <w:lang w:val="en-US" w:eastAsia="zh-CN"/>
        </w:rPr>
        <w:t>2篇。</w:t>
      </w:r>
    </w:p>
    <w:p>
      <w:pPr>
        <w:widowControl/>
        <w:ind w:left="8" w:firstLine="627" w:firstLineChars="196"/>
        <w:jc w:val="left"/>
        <w:rPr>
          <w:rFonts w:hint="default"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3.完成项目鉴定并申报行业协会、省部级及以上科技进步奖三等奖及以上。</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eastAsia="zh-CN"/>
        </w:rPr>
        <w:t>九、</w:t>
      </w:r>
      <w:r>
        <w:rPr>
          <w:rFonts w:hint="eastAsia" w:ascii="黑体" w:hAnsi="黑体" w:eastAsia="黑体" w:cs="黑体"/>
          <w:kern w:val="0"/>
          <w:sz w:val="32"/>
          <w:szCs w:val="32"/>
        </w:rPr>
        <w:t>应用场景</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1.应用于指导城郊煤矿矿井采区瓦斯防治方案和技术路线的制定提供基础数据支撑。</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2.为城郊煤矿矿井采区或区段区域预测提供理论基础，尤其是为新采区底板区域预测巷道位置、层位选择提供依据。</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3.应用于城郊煤矿瓦斯抽采技术选择，特别是为“高浓度、持久抽”工艺、方法的应用效果分析提供基础数据。</w:t>
      </w:r>
    </w:p>
    <w:p>
      <w:pPr>
        <w:widowControl/>
        <w:ind w:left="8" w:firstLine="627" w:firstLineChars="196"/>
        <w:jc w:val="lef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4.用于城郊煤矿瓦斯防治、地质等技术人员和管理人员培训教育。</w:t>
      </w:r>
    </w:p>
    <w:p>
      <w:pPr>
        <w:widowControl/>
        <w:ind w:left="8" w:firstLine="627" w:firstLineChars="196"/>
        <w:jc w:val="left"/>
        <w:rPr>
          <w:rFonts w:hint="eastAsia" w:ascii="仿宋" w:hAnsi="仿宋" w:eastAsia="仿宋" w:cs="仿宋"/>
          <w:b w:val="0"/>
          <w:bCs w:val="0"/>
          <w:kern w:val="0"/>
          <w:sz w:val="32"/>
          <w:szCs w:val="32"/>
          <w:lang w:val="en-US"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F83D5C-CF24-4D9D-9FBE-EE4AF3E926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3460D8C-832E-43B9-9F0F-1D3A8D69DAEF}"/>
  </w:font>
  <w:font w:name="Ari">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embedRegular r:id="rId3" w:fontKey="{E91D9B28-899C-4092-BDC9-AB09EBA446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e46edb61-7b1a-4ca1-b605-5df301bff56e"/>
  </w:docVars>
  <w:rsids>
    <w:rsidRoot w:val="00000000"/>
    <w:rsid w:val="058C654A"/>
    <w:rsid w:val="0B9914B3"/>
    <w:rsid w:val="0D8B4373"/>
    <w:rsid w:val="0E5C05EF"/>
    <w:rsid w:val="10A047C3"/>
    <w:rsid w:val="17AD77C6"/>
    <w:rsid w:val="18E611E1"/>
    <w:rsid w:val="19DB27E6"/>
    <w:rsid w:val="1BBE7142"/>
    <w:rsid w:val="20701F77"/>
    <w:rsid w:val="26054BBA"/>
    <w:rsid w:val="2A970351"/>
    <w:rsid w:val="2FFA6BD9"/>
    <w:rsid w:val="30D95414"/>
    <w:rsid w:val="33840157"/>
    <w:rsid w:val="346A0AC1"/>
    <w:rsid w:val="3CF5536D"/>
    <w:rsid w:val="3EF2616B"/>
    <w:rsid w:val="3FA255B3"/>
    <w:rsid w:val="45E81D98"/>
    <w:rsid w:val="46E4575A"/>
    <w:rsid w:val="4D977DDA"/>
    <w:rsid w:val="4ED7194B"/>
    <w:rsid w:val="57964473"/>
    <w:rsid w:val="5A085D08"/>
    <w:rsid w:val="5BA6476F"/>
    <w:rsid w:val="5D407E93"/>
    <w:rsid w:val="624520A2"/>
    <w:rsid w:val="6254011E"/>
    <w:rsid w:val="668D1EAA"/>
    <w:rsid w:val="6EA56879"/>
    <w:rsid w:val="70B52AE8"/>
    <w:rsid w:val="75D04769"/>
    <w:rsid w:val="78C5709B"/>
    <w:rsid w:val="7A8F3681"/>
    <w:rsid w:val="7B454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43" w:firstLineChars="200"/>
      <w:jc w:val="both"/>
    </w:pPr>
    <w:rPr>
      <w:rFonts w:ascii="宋体" w:hAnsi="宋体" w:eastAsia="宋体" w:cstheme="minorBidi"/>
      <w:kern w:val="2"/>
      <w:sz w:val="28"/>
      <w:szCs w:val="24"/>
      <w:lang w:val="en-US" w:eastAsia="zh-CN" w:bidi="ar-SA"/>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2610</Words>
  <Characters>2647</Characters>
  <Lines>0</Lines>
  <Paragraphs>0</Paragraphs>
  <TotalTime>0</TotalTime>
  <ScaleCrop>false</ScaleCrop>
  <LinksUpToDate>false</LinksUpToDate>
  <CharactersWithSpaces>2647</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2022-10-24T15:34:00Z</dcterms:created>
  <dc:creator>86152</dc:creator>
  <cp:lastModifiedBy>郝娅小A</cp:lastModifiedBy>
  <cp:lastPrinted>2024-05-31T07:21:00Z</cp:lastPrinted>
  <dcterms:modified xsi:type="dcterms:W3CDTF">2024-06-03T09:56:11Z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838BAD575F7E412C9D70015C9689985C_13</vt:lpwstr>
  </property>
</Properties>
</file>